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71066" w14:textId="77777777" w:rsidR="00B41A38" w:rsidRDefault="00B41A38" w:rsidP="00E34FD3">
      <w:pPr>
        <w:spacing w:line="360" w:lineRule="auto"/>
        <w:ind w:left="360"/>
        <w:jc w:val="center"/>
        <w:rPr>
          <w:rFonts w:ascii="Lato" w:hAnsi="Lato"/>
          <w:b/>
          <w:bCs/>
          <w:sz w:val="20"/>
          <w:szCs w:val="20"/>
        </w:rPr>
      </w:pPr>
    </w:p>
    <w:p w14:paraId="7F8CEF12" w14:textId="77777777" w:rsidR="00B41A38" w:rsidRPr="00813077" w:rsidRDefault="00B41A38" w:rsidP="00E34FD3">
      <w:pPr>
        <w:spacing w:line="360" w:lineRule="auto"/>
        <w:ind w:left="360"/>
        <w:jc w:val="center"/>
        <w:rPr>
          <w:rFonts w:ascii="Tahoma" w:hAnsi="Tahoma" w:cs="Tahoma"/>
          <w:b/>
          <w:bCs/>
          <w:sz w:val="20"/>
          <w:szCs w:val="20"/>
        </w:rPr>
      </w:pPr>
    </w:p>
    <w:p w14:paraId="36E7312B" w14:textId="6DABB016" w:rsidR="00A429B3" w:rsidRPr="00813077" w:rsidRDefault="00EA34BC" w:rsidP="00E34FD3">
      <w:pPr>
        <w:spacing w:line="360" w:lineRule="auto"/>
        <w:ind w:left="360"/>
        <w:jc w:val="center"/>
        <w:rPr>
          <w:rFonts w:ascii="Tahoma" w:hAnsi="Tahoma" w:cs="Tahoma"/>
          <w:b/>
          <w:bCs/>
          <w:sz w:val="20"/>
          <w:szCs w:val="20"/>
        </w:rPr>
      </w:pPr>
      <w:r w:rsidRPr="00813077">
        <w:rPr>
          <w:rFonts w:ascii="Tahoma" w:hAnsi="Tahoma" w:cs="Tahoma"/>
          <w:b/>
          <w:bCs/>
          <w:sz w:val="20"/>
          <w:szCs w:val="20"/>
        </w:rPr>
        <w:t>Uchwała nr 1/202</w:t>
      </w:r>
      <w:r w:rsidR="00B41A38" w:rsidRPr="00813077">
        <w:rPr>
          <w:rFonts w:ascii="Tahoma" w:hAnsi="Tahoma" w:cs="Tahoma"/>
          <w:b/>
          <w:bCs/>
          <w:sz w:val="20"/>
          <w:szCs w:val="20"/>
        </w:rPr>
        <w:t>4</w:t>
      </w:r>
    </w:p>
    <w:p w14:paraId="0041740F" w14:textId="77777777" w:rsidR="00813077" w:rsidRDefault="000A1746" w:rsidP="000A1746">
      <w:pPr>
        <w:spacing w:line="360" w:lineRule="auto"/>
        <w:ind w:left="360"/>
        <w:jc w:val="center"/>
        <w:rPr>
          <w:rFonts w:ascii="Tahoma" w:hAnsi="Tahoma" w:cs="Tahoma"/>
          <w:b/>
          <w:bCs/>
          <w:sz w:val="20"/>
          <w:szCs w:val="20"/>
        </w:rPr>
      </w:pPr>
      <w:r w:rsidRPr="00813077">
        <w:rPr>
          <w:rFonts w:ascii="Tahoma" w:hAnsi="Tahoma" w:cs="Tahoma"/>
          <w:b/>
          <w:bCs/>
          <w:sz w:val="20"/>
          <w:szCs w:val="20"/>
        </w:rPr>
        <w:t xml:space="preserve">Rady Zatrudnienia Socjalnego III kadencji </w:t>
      </w:r>
    </w:p>
    <w:p w14:paraId="2034CDEA" w14:textId="6A0E259C" w:rsidR="000A1746" w:rsidRPr="00813077" w:rsidRDefault="000A1746" w:rsidP="000A1746">
      <w:pPr>
        <w:spacing w:line="360" w:lineRule="auto"/>
        <w:ind w:left="360"/>
        <w:jc w:val="center"/>
        <w:rPr>
          <w:rFonts w:ascii="Tahoma" w:hAnsi="Tahoma" w:cs="Tahoma"/>
          <w:b/>
          <w:bCs/>
          <w:sz w:val="20"/>
          <w:szCs w:val="20"/>
        </w:rPr>
      </w:pPr>
      <w:r w:rsidRPr="00813077">
        <w:rPr>
          <w:rFonts w:ascii="Tahoma" w:hAnsi="Tahoma" w:cs="Tahoma"/>
          <w:b/>
          <w:bCs/>
          <w:sz w:val="20"/>
          <w:szCs w:val="20"/>
        </w:rPr>
        <w:t>przy Ministrze Rodziny</w:t>
      </w:r>
      <w:r w:rsidR="00B41A38" w:rsidRPr="00813077">
        <w:rPr>
          <w:rFonts w:ascii="Tahoma" w:hAnsi="Tahoma" w:cs="Tahoma"/>
          <w:b/>
          <w:bCs/>
          <w:sz w:val="20"/>
          <w:szCs w:val="20"/>
        </w:rPr>
        <w:t xml:space="preserve">, Pracy </w:t>
      </w:r>
      <w:r w:rsidRPr="00813077">
        <w:rPr>
          <w:rFonts w:ascii="Tahoma" w:hAnsi="Tahoma" w:cs="Tahoma"/>
          <w:b/>
          <w:bCs/>
          <w:sz w:val="20"/>
          <w:szCs w:val="20"/>
        </w:rPr>
        <w:t>i Polityki Społecznej</w:t>
      </w:r>
    </w:p>
    <w:p w14:paraId="6379B7CB" w14:textId="0419351D" w:rsidR="000A1746" w:rsidRPr="00813077" w:rsidRDefault="00B41A38" w:rsidP="000A1746">
      <w:pPr>
        <w:spacing w:line="360" w:lineRule="auto"/>
        <w:ind w:left="360"/>
        <w:jc w:val="center"/>
        <w:rPr>
          <w:rFonts w:ascii="Tahoma" w:hAnsi="Tahoma" w:cs="Tahoma"/>
          <w:b/>
          <w:bCs/>
          <w:sz w:val="20"/>
          <w:szCs w:val="20"/>
        </w:rPr>
      </w:pPr>
      <w:r w:rsidRPr="00813077">
        <w:rPr>
          <w:rFonts w:ascii="Tahoma" w:hAnsi="Tahoma" w:cs="Tahoma"/>
          <w:b/>
          <w:bCs/>
          <w:sz w:val="20"/>
          <w:szCs w:val="20"/>
        </w:rPr>
        <w:t>z dnia 13</w:t>
      </w:r>
      <w:r w:rsidR="000A1746" w:rsidRPr="00813077">
        <w:rPr>
          <w:rFonts w:ascii="Tahoma" w:hAnsi="Tahoma" w:cs="Tahoma"/>
          <w:b/>
          <w:bCs/>
          <w:sz w:val="20"/>
          <w:szCs w:val="20"/>
        </w:rPr>
        <w:t>.0</w:t>
      </w:r>
      <w:r w:rsidRPr="00813077">
        <w:rPr>
          <w:rFonts w:ascii="Tahoma" w:hAnsi="Tahoma" w:cs="Tahoma"/>
          <w:b/>
          <w:bCs/>
          <w:sz w:val="20"/>
          <w:szCs w:val="20"/>
        </w:rPr>
        <w:t>3</w:t>
      </w:r>
      <w:r w:rsidR="000A1746" w:rsidRPr="00813077">
        <w:rPr>
          <w:rFonts w:ascii="Tahoma" w:hAnsi="Tahoma" w:cs="Tahoma"/>
          <w:b/>
          <w:bCs/>
          <w:sz w:val="20"/>
          <w:szCs w:val="20"/>
        </w:rPr>
        <w:t>.202</w:t>
      </w:r>
      <w:r w:rsidRPr="00813077">
        <w:rPr>
          <w:rFonts w:ascii="Tahoma" w:hAnsi="Tahoma" w:cs="Tahoma"/>
          <w:b/>
          <w:bCs/>
          <w:sz w:val="20"/>
          <w:szCs w:val="20"/>
        </w:rPr>
        <w:t>4</w:t>
      </w:r>
      <w:r w:rsidR="000A1746" w:rsidRPr="00813077">
        <w:rPr>
          <w:rFonts w:ascii="Tahoma" w:hAnsi="Tahoma" w:cs="Tahoma"/>
          <w:b/>
          <w:bCs/>
          <w:sz w:val="20"/>
          <w:szCs w:val="20"/>
        </w:rPr>
        <w:t xml:space="preserve"> r.</w:t>
      </w:r>
    </w:p>
    <w:p w14:paraId="09DCABB9" w14:textId="3BA6668D" w:rsidR="00B41A38" w:rsidRPr="00813077" w:rsidRDefault="00EA34BC" w:rsidP="00B41A38">
      <w:pPr>
        <w:spacing w:line="360" w:lineRule="auto"/>
        <w:ind w:left="360"/>
        <w:jc w:val="center"/>
        <w:rPr>
          <w:rFonts w:ascii="Tahoma" w:hAnsi="Tahoma" w:cs="Tahoma"/>
          <w:b/>
          <w:bCs/>
          <w:sz w:val="20"/>
          <w:szCs w:val="20"/>
        </w:rPr>
      </w:pPr>
      <w:r w:rsidRPr="00813077">
        <w:rPr>
          <w:rFonts w:ascii="Tahoma" w:hAnsi="Tahoma" w:cs="Tahoma"/>
          <w:b/>
          <w:bCs/>
          <w:sz w:val="20"/>
          <w:szCs w:val="20"/>
        </w:rPr>
        <w:t xml:space="preserve">w sprawie </w:t>
      </w:r>
      <w:r w:rsidR="00B41A38" w:rsidRPr="00813077">
        <w:rPr>
          <w:rFonts w:ascii="Tahoma" w:hAnsi="Tahoma" w:cs="Tahoma"/>
          <w:b/>
          <w:bCs/>
          <w:sz w:val="20"/>
          <w:szCs w:val="20"/>
        </w:rPr>
        <w:t>priorytetowych obszarów zmian w funkcjonowaniu zatrudnienia socjalnego</w:t>
      </w:r>
    </w:p>
    <w:p w14:paraId="3587F3F2" w14:textId="77777777" w:rsidR="00B41A38" w:rsidRPr="00813077" w:rsidRDefault="00B41A38" w:rsidP="00B41A38">
      <w:pPr>
        <w:spacing w:line="360" w:lineRule="auto"/>
        <w:ind w:left="360"/>
        <w:jc w:val="both"/>
        <w:rPr>
          <w:rFonts w:ascii="Tahoma" w:hAnsi="Tahoma" w:cs="Tahoma"/>
          <w:b/>
          <w:bCs/>
          <w:sz w:val="20"/>
          <w:szCs w:val="20"/>
        </w:rPr>
      </w:pPr>
    </w:p>
    <w:p w14:paraId="1D854FD2" w14:textId="20232350" w:rsidR="000A1746" w:rsidRPr="00813077" w:rsidRDefault="00E34FD3" w:rsidP="00B41A38">
      <w:pPr>
        <w:spacing w:line="360" w:lineRule="auto"/>
        <w:ind w:left="360"/>
        <w:jc w:val="both"/>
        <w:rPr>
          <w:rFonts w:ascii="Tahoma" w:hAnsi="Tahoma" w:cs="Tahoma"/>
          <w:sz w:val="20"/>
          <w:szCs w:val="20"/>
        </w:rPr>
      </w:pPr>
      <w:r w:rsidRPr="00813077">
        <w:rPr>
          <w:rFonts w:ascii="Tahoma" w:hAnsi="Tahoma" w:cs="Tahoma"/>
          <w:sz w:val="20"/>
          <w:szCs w:val="20"/>
        </w:rPr>
        <w:t>Na podstawie § 8 Rozporządzenia Ministra Rodziny, Pracy i Polityki Społecznej w sprawie Rady</w:t>
      </w:r>
      <w:r w:rsidR="00E23C9E" w:rsidRPr="00813077">
        <w:rPr>
          <w:rFonts w:ascii="Tahoma" w:hAnsi="Tahoma" w:cs="Tahoma"/>
          <w:sz w:val="20"/>
          <w:szCs w:val="20"/>
        </w:rPr>
        <w:t xml:space="preserve"> </w:t>
      </w:r>
      <w:r w:rsidRPr="00813077">
        <w:rPr>
          <w:rFonts w:ascii="Tahoma" w:hAnsi="Tahoma" w:cs="Tahoma"/>
          <w:sz w:val="20"/>
          <w:szCs w:val="20"/>
        </w:rPr>
        <w:t>Zatrudnienia Socjalnego z dnia 18 maja 2016 r.</w:t>
      </w:r>
      <w:r w:rsidR="000A1746" w:rsidRPr="00813077">
        <w:rPr>
          <w:rFonts w:ascii="Tahoma" w:hAnsi="Tahoma" w:cs="Tahoma"/>
          <w:sz w:val="20"/>
          <w:szCs w:val="20"/>
        </w:rPr>
        <w:t xml:space="preserve"> Członkowie Rady Zatrudnienia Socjalnego III kadencji w wyniku głosowania </w:t>
      </w:r>
      <w:r w:rsidR="00B41A38" w:rsidRPr="00813077">
        <w:rPr>
          <w:rFonts w:ascii="Tahoma" w:hAnsi="Tahoma" w:cs="Tahoma"/>
          <w:sz w:val="20"/>
          <w:szCs w:val="20"/>
        </w:rPr>
        <w:t>w formie obiegowej, przyjęli co następuje:</w:t>
      </w:r>
    </w:p>
    <w:p w14:paraId="4B7A591F" w14:textId="77777777" w:rsidR="00B41A38" w:rsidRPr="00813077" w:rsidRDefault="00B41A38" w:rsidP="00235E34">
      <w:pPr>
        <w:spacing w:line="360" w:lineRule="auto"/>
        <w:ind w:left="360"/>
        <w:jc w:val="center"/>
        <w:rPr>
          <w:rFonts w:ascii="Tahoma" w:hAnsi="Tahoma" w:cs="Tahoma"/>
          <w:sz w:val="20"/>
          <w:szCs w:val="20"/>
        </w:rPr>
      </w:pPr>
    </w:p>
    <w:p w14:paraId="3031E61A" w14:textId="38004582" w:rsidR="00235E34" w:rsidRPr="00813077" w:rsidRDefault="00EA34BC" w:rsidP="00235E34">
      <w:pPr>
        <w:spacing w:line="360" w:lineRule="auto"/>
        <w:ind w:left="360"/>
        <w:jc w:val="center"/>
        <w:rPr>
          <w:rFonts w:ascii="Tahoma" w:hAnsi="Tahoma" w:cs="Tahoma"/>
          <w:sz w:val="20"/>
          <w:szCs w:val="20"/>
        </w:rPr>
      </w:pPr>
      <w:r w:rsidRPr="00813077">
        <w:rPr>
          <w:rFonts w:ascii="Tahoma" w:hAnsi="Tahoma" w:cs="Tahoma"/>
          <w:sz w:val="20"/>
          <w:szCs w:val="20"/>
        </w:rPr>
        <w:t>§ 1</w:t>
      </w:r>
    </w:p>
    <w:p w14:paraId="3BC1DAE3" w14:textId="3BC5BA6C" w:rsidR="00B41A38" w:rsidRPr="00813077" w:rsidRDefault="00B41A38" w:rsidP="00B41A38">
      <w:pPr>
        <w:pStyle w:val="Akapitzlist"/>
        <w:numPr>
          <w:ilvl w:val="0"/>
          <w:numId w:val="10"/>
        </w:numPr>
        <w:spacing w:line="360" w:lineRule="auto"/>
        <w:jc w:val="both"/>
        <w:rPr>
          <w:rFonts w:ascii="Tahoma" w:hAnsi="Tahoma" w:cs="Tahoma"/>
          <w:sz w:val="20"/>
          <w:szCs w:val="20"/>
        </w:rPr>
      </w:pPr>
      <w:r w:rsidRPr="00813077">
        <w:rPr>
          <w:rFonts w:ascii="Tahoma" w:hAnsi="Tahoma" w:cs="Tahoma"/>
          <w:sz w:val="20"/>
          <w:szCs w:val="20"/>
        </w:rPr>
        <w:t xml:space="preserve">W toku pracy Grupy roboczej ds. kierunków rozwoju zatrudnienia socjalnego, działająca </w:t>
      </w:r>
      <w:r w:rsidR="00813077">
        <w:rPr>
          <w:rFonts w:ascii="Tahoma" w:hAnsi="Tahoma" w:cs="Tahoma"/>
          <w:sz w:val="20"/>
          <w:szCs w:val="20"/>
        </w:rPr>
        <w:br/>
      </w:r>
      <w:r w:rsidRPr="00813077">
        <w:rPr>
          <w:rFonts w:ascii="Tahoma" w:hAnsi="Tahoma" w:cs="Tahoma"/>
          <w:sz w:val="20"/>
          <w:szCs w:val="20"/>
        </w:rPr>
        <w:t>w ramach Rady Zatrudnienia Socjalnego III kadencji, wskazano priorytetowe obszary zmian w funkcjonowaniu zatrudnienia socjalnego. Opis obszarów stanowi załącznik nr 1 do niemniejszej uchwały.</w:t>
      </w:r>
    </w:p>
    <w:p w14:paraId="18210F99" w14:textId="4DF74250" w:rsidR="00B41A38" w:rsidRPr="00813077" w:rsidRDefault="00813077" w:rsidP="00B41A38">
      <w:pPr>
        <w:pStyle w:val="Akapitzlist"/>
        <w:numPr>
          <w:ilvl w:val="0"/>
          <w:numId w:val="10"/>
        </w:numPr>
        <w:spacing w:line="360" w:lineRule="auto"/>
        <w:jc w:val="both"/>
        <w:rPr>
          <w:rFonts w:ascii="Tahoma" w:hAnsi="Tahoma" w:cs="Tahoma"/>
          <w:sz w:val="20"/>
          <w:szCs w:val="20"/>
        </w:rPr>
      </w:pPr>
      <w:r w:rsidRPr="00813077">
        <w:rPr>
          <w:rFonts w:ascii="Tahoma" w:hAnsi="Tahoma" w:cs="Tahoma"/>
          <w:sz w:val="20"/>
          <w:szCs w:val="20"/>
        </w:rPr>
        <w:t>W</w:t>
      </w:r>
      <w:r w:rsidR="00B41A38" w:rsidRPr="00813077">
        <w:rPr>
          <w:rFonts w:ascii="Tahoma" w:hAnsi="Tahoma" w:cs="Tahoma"/>
          <w:sz w:val="20"/>
          <w:szCs w:val="20"/>
        </w:rPr>
        <w:t xml:space="preserve"> załączniku nr 1 </w:t>
      </w:r>
      <w:r w:rsidRPr="00813077">
        <w:rPr>
          <w:rFonts w:ascii="Tahoma" w:hAnsi="Tahoma" w:cs="Tahoma"/>
          <w:sz w:val="20"/>
          <w:szCs w:val="20"/>
        </w:rPr>
        <w:t xml:space="preserve">wskazano pod względem hierarchii ważności </w:t>
      </w:r>
      <w:r w:rsidR="00B41A38" w:rsidRPr="00813077">
        <w:rPr>
          <w:rFonts w:ascii="Tahoma" w:hAnsi="Tahoma" w:cs="Tahoma"/>
          <w:sz w:val="20"/>
          <w:szCs w:val="20"/>
        </w:rPr>
        <w:t>obszary</w:t>
      </w:r>
      <w:r w:rsidRPr="00813077">
        <w:rPr>
          <w:rFonts w:ascii="Tahoma" w:hAnsi="Tahoma" w:cs="Tahoma"/>
          <w:sz w:val="20"/>
          <w:szCs w:val="20"/>
        </w:rPr>
        <w:t>, które powinny podlegać procesowi zmian a może i standaryzacji.</w:t>
      </w:r>
      <w:r w:rsidR="00B41A38" w:rsidRPr="00813077">
        <w:rPr>
          <w:rFonts w:ascii="Tahoma" w:hAnsi="Tahoma" w:cs="Tahoma"/>
          <w:sz w:val="20"/>
          <w:szCs w:val="20"/>
        </w:rPr>
        <w:t xml:space="preserve"> </w:t>
      </w:r>
    </w:p>
    <w:p w14:paraId="1EC197A3" w14:textId="33BA105A" w:rsidR="00EA34BC" w:rsidRPr="00813077" w:rsidRDefault="00EA34BC" w:rsidP="00666A55">
      <w:pPr>
        <w:spacing w:line="360" w:lineRule="auto"/>
        <w:ind w:left="360"/>
        <w:jc w:val="center"/>
        <w:rPr>
          <w:rFonts w:ascii="Tahoma" w:hAnsi="Tahoma" w:cs="Tahoma"/>
          <w:sz w:val="20"/>
          <w:szCs w:val="20"/>
        </w:rPr>
      </w:pPr>
      <w:r w:rsidRPr="00813077">
        <w:rPr>
          <w:rFonts w:ascii="Tahoma" w:hAnsi="Tahoma" w:cs="Tahoma"/>
          <w:sz w:val="20"/>
          <w:szCs w:val="20"/>
        </w:rPr>
        <w:t>§ 2</w:t>
      </w:r>
    </w:p>
    <w:p w14:paraId="4C624FCC" w14:textId="23820D57" w:rsidR="00EA34BC" w:rsidRPr="00813077" w:rsidRDefault="00EA34BC" w:rsidP="00235E34">
      <w:pPr>
        <w:spacing w:line="360" w:lineRule="auto"/>
        <w:ind w:firstLine="360"/>
        <w:jc w:val="both"/>
        <w:rPr>
          <w:rFonts w:ascii="Tahoma" w:hAnsi="Tahoma" w:cs="Tahoma"/>
          <w:sz w:val="20"/>
          <w:szCs w:val="20"/>
        </w:rPr>
      </w:pPr>
      <w:r w:rsidRPr="00813077">
        <w:rPr>
          <w:rFonts w:ascii="Tahoma" w:hAnsi="Tahoma" w:cs="Tahoma"/>
          <w:sz w:val="20"/>
          <w:szCs w:val="20"/>
        </w:rPr>
        <w:t>Uchwała wchodzi w życie z dniem podjęcia.</w:t>
      </w:r>
    </w:p>
    <w:p w14:paraId="45E9A337" w14:textId="11F9409C" w:rsidR="00813077" w:rsidRPr="00813077" w:rsidRDefault="00813077" w:rsidP="00813077">
      <w:pPr>
        <w:spacing w:line="360" w:lineRule="auto"/>
        <w:ind w:left="360"/>
        <w:jc w:val="center"/>
        <w:rPr>
          <w:rFonts w:ascii="Tahoma" w:hAnsi="Tahoma" w:cs="Tahoma"/>
          <w:sz w:val="20"/>
          <w:szCs w:val="20"/>
        </w:rPr>
      </w:pPr>
      <w:r w:rsidRPr="00813077">
        <w:rPr>
          <w:rFonts w:ascii="Tahoma" w:hAnsi="Tahoma" w:cs="Tahoma"/>
          <w:sz w:val="20"/>
          <w:szCs w:val="20"/>
        </w:rPr>
        <w:t xml:space="preserve">§ </w:t>
      </w:r>
      <w:r>
        <w:rPr>
          <w:rFonts w:ascii="Tahoma" w:hAnsi="Tahoma" w:cs="Tahoma"/>
          <w:sz w:val="20"/>
          <w:szCs w:val="20"/>
        </w:rPr>
        <w:t>3</w:t>
      </w:r>
    </w:p>
    <w:p w14:paraId="361E44B0" w14:textId="19C0D058" w:rsidR="00813077" w:rsidRDefault="00666A55" w:rsidP="00813077">
      <w:pPr>
        <w:spacing w:before="240" w:line="360" w:lineRule="auto"/>
        <w:jc w:val="both"/>
        <w:rPr>
          <w:rFonts w:ascii="Tahoma" w:eastAsia="Tahoma" w:hAnsi="Tahoma" w:cs="Tahoma"/>
          <w:sz w:val="20"/>
          <w:szCs w:val="20"/>
        </w:rPr>
      </w:pPr>
      <w:r>
        <w:rPr>
          <w:rFonts w:ascii="Tahoma" w:eastAsia="Tahoma" w:hAnsi="Tahoma" w:cs="Tahoma"/>
          <w:sz w:val="20"/>
          <w:szCs w:val="20"/>
        </w:rPr>
        <w:t>Podejmując przedmiotową</w:t>
      </w:r>
      <w:r w:rsidR="00813077">
        <w:rPr>
          <w:rFonts w:ascii="Tahoma" w:eastAsia="Tahoma" w:hAnsi="Tahoma" w:cs="Tahoma"/>
          <w:sz w:val="20"/>
          <w:szCs w:val="20"/>
        </w:rPr>
        <w:t xml:space="preserve"> Uchwał</w:t>
      </w:r>
      <w:r>
        <w:rPr>
          <w:rFonts w:ascii="Tahoma" w:eastAsia="Tahoma" w:hAnsi="Tahoma" w:cs="Tahoma"/>
          <w:sz w:val="20"/>
          <w:szCs w:val="20"/>
        </w:rPr>
        <w:t>ę,</w:t>
      </w:r>
      <w:r w:rsidR="00813077">
        <w:rPr>
          <w:rFonts w:ascii="Tahoma" w:eastAsia="Tahoma" w:hAnsi="Tahoma" w:cs="Tahoma"/>
          <w:sz w:val="20"/>
          <w:szCs w:val="20"/>
        </w:rPr>
        <w:t xml:space="preserve"> Rada Zatrudnienia Socjalnego</w:t>
      </w:r>
      <w:r>
        <w:rPr>
          <w:rFonts w:ascii="Tahoma" w:eastAsia="Tahoma" w:hAnsi="Tahoma" w:cs="Tahoma"/>
          <w:sz w:val="20"/>
          <w:szCs w:val="20"/>
        </w:rPr>
        <w:t>,</w:t>
      </w:r>
      <w:r w:rsidR="00813077">
        <w:rPr>
          <w:rFonts w:ascii="Tahoma" w:eastAsia="Tahoma" w:hAnsi="Tahoma" w:cs="Tahoma"/>
          <w:sz w:val="20"/>
          <w:szCs w:val="20"/>
        </w:rPr>
        <w:t xml:space="preserve"> pozostaj</w:t>
      </w:r>
      <w:r>
        <w:rPr>
          <w:rFonts w:ascii="Tahoma" w:eastAsia="Tahoma" w:hAnsi="Tahoma" w:cs="Tahoma"/>
          <w:sz w:val="20"/>
          <w:szCs w:val="20"/>
        </w:rPr>
        <w:t>e</w:t>
      </w:r>
      <w:r w:rsidR="00813077">
        <w:rPr>
          <w:rFonts w:ascii="Tahoma" w:eastAsia="Tahoma" w:hAnsi="Tahoma" w:cs="Tahoma"/>
          <w:sz w:val="20"/>
          <w:szCs w:val="20"/>
        </w:rPr>
        <w:t xml:space="preserve"> do dyspozycji w zakresie pracy nad kierunkowymi zmianami/ standaryzacją zatrudnienia socjalnego</w:t>
      </w:r>
      <w:r w:rsidR="003A7812">
        <w:rPr>
          <w:rFonts w:ascii="Tahoma" w:eastAsia="Tahoma" w:hAnsi="Tahoma" w:cs="Tahoma"/>
          <w:sz w:val="20"/>
          <w:szCs w:val="20"/>
        </w:rPr>
        <w:t xml:space="preserve"> oraz jego miejsca w sektorze ekonomii społecznej</w:t>
      </w:r>
      <w:bookmarkStart w:id="0" w:name="_GoBack"/>
      <w:bookmarkEnd w:id="0"/>
      <w:r w:rsidR="00813077">
        <w:rPr>
          <w:rFonts w:ascii="Tahoma" w:eastAsia="Tahoma" w:hAnsi="Tahoma" w:cs="Tahoma"/>
          <w:sz w:val="20"/>
          <w:szCs w:val="20"/>
        </w:rPr>
        <w:t xml:space="preserve">. </w:t>
      </w:r>
    </w:p>
    <w:p w14:paraId="472DE604" w14:textId="77777777" w:rsidR="00813077" w:rsidRDefault="00813077" w:rsidP="00935E99">
      <w:pPr>
        <w:spacing w:line="360" w:lineRule="auto"/>
        <w:ind w:left="360"/>
        <w:jc w:val="both"/>
        <w:rPr>
          <w:rFonts w:ascii="Tahoma" w:hAnsi="Tahoma" w:cs="Tahoma"/>
          <w:sz w:val="20"/>
          <w:szCs w:val="20"/>
        </w:rPr>
      </w:pPr>
    </w:p>
    <w:p w14:paraId="14F5D7C9" w14:textId="77777777" w:rsidR="00666A55" w:rsidRDefault="00666A55" w:rsidP="00935E99">
      <w:pPr>
        <w:spacing w:line="360" w:lineRule="auto"/>
        <w:ind w:left="360"/>
        <w:jc w:val="both"/>
        <w:rPr>
          <w:rFonts w:ascii="Tahoma" w:hAnsi="Tahoma" w:cs="Tahoma"/>
          <w:sz w:val="20"/>
          <w:szCs w:val="20"/>
        </w:rPr>
      </w:pPr>
    </w:p>
    <w:p w14:paraId="6371F385" w14:textId="77777777" w:rsidR="00813077" w:rsidRPr="00813077" w:rsidRDefault="00813077" w:rsidP="00935E99">
      <w:pPr>
        <w:spacing w:line="360" w:lineRule="auto"/>
        <w:ind w:left="360"/>
        <w:jc w:val="both"/>
        <w:rPr>
          <w:rFonts w:ascii="Tahoma" w:hAnsi="Tahoma" w:cs="Tahoma"/>
          <w:sz w:val="20"/>
          <w:szCs w:val="20"/>
        </w:rPr>
      </w:pPr>
    </w:p>
    <w:p w14:paraId="036389B0" w14:textId="116FF87E" w:rsidR="00813077" w:rsidRPr="00813077" w:rsidRDefault="00813077" w:rsidP="00813077">
      <w:pPr>
        <w:spacing w:line="360" w:lineRule="auto"/>
        <w:ind w:left="360"/>
        <w:jc w:val="right"/>
        <w:rPr>
          <w:rFonts w:ascii="Tahoma" w:hAnsi="Tahoma" w:cs="Tahoma"/>
          <w:b/>
          <w:i/>
          <w:sz w:val="20"/>
          <w:szCs w:val="20"/>
        </w:rPr>
      </w:pPr>
      <w:r w:rsidRPr="00813077">
        <w:rPr>
          <w:rFonts w:ascii="Tahoma" w:hAnsi="Tahoma" w:cs="Tahoma"/>
          <w:b/>
          <w:i/>
          <w:sz w:val="20"/>
          <w:szCs w:val="20"/>
        </w:rPr>
        <w:lastRenderedPageBreak/>
        <w:t xml:space="preserve">Załącznik nr 1 do Uchwały 1/2024 </w:t>
      </w:r>
    </w:p>
    <w:p w14:paraId="36104AFA" w14:textId="77777777" w:rsidR="00666A55" w:rsidRDefault="00666A55" w:rsidP="00813077">
      <w:pPr>
        <w:spacing w:before="240" w:line="360" w:lineRule="auto"/>
        <w:jc w:val="both"/>
        <w:rPr>
          <w:rFonts w:ascii="Tahoma" w:eastAsia="Tahoma" w:hAnsi="Tahoma" w:cs="Tahoma"/>
          <w:sz w:val="20"/>
          <w:szCs w:val="20"/>
        </w:rPr>
      </w:pPr>
    </w:p>
    <w:p w14:paraId="0124086F" w14:textId="2B8DA6EA" w:rsidR="00813077" w:rsidRDefault="00813077" w:rsidP="00813077">
      <w:pPr>
        <w:spacing w:before="240" w:line="360" w:lineRule="auto"/>
        <w:jc w:val="both"/>
        <w:rPr>
          <w:rFonts w:ascii="Tahoma" w:eastAsia="Tahoma" w:hAnsi="Tahoma" w:cs="Tahoma"/>
          <w:sz w:val="20"/>
          <w:szCs w:val="20"/>
        </w:rPr>
      </w:pPr>
      <w:r>
        <w:rPr>
          <w:rFonts w:ascii="Tahoma" w:eastAsia="Tahoma" w:hAnsi="Tahoma" w:cs="Tahoma"/>
          <w:sz w:val="20"/>
          <w:szCs w:val="20"/>
        </w:rPr>
        <w:t xml:space="preserve">Za najważniejsze obszary zmian / standaryzacji zatrudnienia socjalnego uznajemy: </w:t>
      </w:r>
    </w:p>
    <w:p w14:paraId="5E643D80" w14:textId="438ED43A" w:rsidR="00813077" w:rsidRDefault="00813077" w:rsidP="00813077">
      <w:pPr>
        <w:widowControl w:val="0"/>
        <w:numPr>
          <w:ilvl w:val="0"/>
          <w:numId w:val="11"/>
        </w:numPr>
        <w:spacing w:before="240" w:after="0" w:line="360" w:lineRule="auto"/>
        <w:jc w:val="both"/>
        <w:rPr>
          <w:rFonts w:ascii="Tahoma" w:eastAsia="Tahoma" w:hAnsi="Tahoma" w:cs="Tahoma"/>
          <w:sz w:val="20"/>
          <w:szCs w:val="20"/>
        </w:rPr>
      </w:pPr>
      <w:r>
        <w:rPr>
          <w:rFonts w:ascii="Tahoma" w:eastAsia="Tahoma" w:hAnsi="Tahoma" w:cs="Tahoma"/>
          <w:b/>
          <w:sz w:val="20"/>
          <w:szCs w:val="20"/>
        </w:rPr>
        <w:t>rekrutację uczestników centrów integracji społecznej (dalej: CIS)</w:t>
      </w:r>
      <w:r>
        <w:rPr>
          <w:rFonts w:ascii="Tahoma" w:eastAsia="Tahoma" w:hAnsi="Tahoma" w:cs="Tahoma"/>
          <w:sz w:val="20"/>
          <w:szCs w:val="20"/>
        </w:rPr>
        <w:t xml:space="preserve"> – rozwiązania mające na celu odejście od procedury wywiadów środowiskowych realizowanych przez ośrodki pomocy społecznej (dalej: OPS-y). Proces rekrutacji uczestnika powinien być wyłączony </w:t>
      </w:r>
      <w:r>
        <w:rPr>
          <w:rFonts w:ascii="Tahoma" w:eastAsia="Tahoma" w:hAnsi="Tahoma" w:cs="Tahoma"/>
          <w:sz w:val="20"/>
          <w:szCs w:val="20"/>
        </w:rPr>
        <w:br/>
        <w:t xml:space="preserve">z Ustawy o pomocy społecznej. Należałoby rozważyć systemowe rozwiązanie ułatwiające proces rekrutacji uczestnika. Wystarczającym rozwiązaniem byłoby potwierdzenie braku opłacania składek przez ZUS (rozwiązanie takie funkcjonowało w poprzedniej perspektywie finansowania funduszy unijnych) wraz z oświadczeniem kandydata o pozostawaniu bez zatrudnienia. W chwili obecnej sporządzanie wywiadów przez OPS-y, bardzo wydłuża procedurę rekrutacji nawet do 3-8 tygodni. Sprawia to często trudności w podtrzymaniu gotowości kandydata </w:t>
      </w:r>
      <w:r>
        <w:rPr>
          <w:rFonts w:ascii="Tahoma" w:eastAsia="Tahoma" w:hAnsi="Tahoma" w:cs="Tahoma"/>
          <w:sz w:val="20"/>
          <w:szCs w:val="20"/>
        </w:rPr>
        <w:br/>
        <w:t xml:space="preserve">a w konsekwencji jego rezygnację i wielokrotnie powrót do systemu pomocy społecznej. </w:t>
      </w:r>
      <w:r>
        <w:rPr>
          <w:rFonts w:ascii="Tahoma" w:eastAsia="Tahoma" w:hAnsi="Tahoma" w:cs="Tahoma"/>
          <w:sz w:val="20"/>
          <w:szCs w:val="20"/>
        </w:rPr>
        <w:br/>
        <w:t xml:space="preserve">W wielu przypadkach skierowanie jest utożsamiane ze spełnieniem kryteriów Ustawy o pomocy społecznej. </w:t>
      </w:r>
    </w:p>
    <w:p w14:paraId="469833AA" w14:textId="737C5A61" w:rsidR="00813077" w:rsidRDefault="00813077" w:rsidP="00813077">
      <w:pPr>
        <w:widowControl w:val="0"/>
        <w:numPr>
          <w:ilvl w:val="0"/>
          <w:numId w:val="11"/>
        </w:numPr>
        <w:spacing w:before="240" w:after="0" w:line="360" w:lineRule="auto"/>
        <w:jc w:val="both"/>
        <w:rPr>
          <w:rFonts w:ascii="Tahoma" w:eastAsia="Tahoma" w:hAnsi="Tahoma" w:cs="Tahoma"/>
          <w:sz w:val="20"/>
          <w:szCs w:val="20"/>
        </w:rPr>
      </w:pPr>
      <w:r>
        <w:rPr>
          <w:rFonts w:ascii="Tahoma" w:eastAsia="Tahoma" w:hAnsi="Tahoma" w:cs="Tahoma"/>
          <w:b/>
          <w:sz w:val="20"/>
          <w:szCs w:val="20"/>
        </w:rPr>
        <w:t>ubezpieczenie zdrowotne uczestników CIS</w:t>
      </w:r>
      <w:r>
        <w:rPr>
          <w:rFonts w:ascii="Tahoma" w:eastAsia="Tahoma" w:hAnsi="Tahoma" w:cs="Tahoma"/>
          <w:sz w:val="20"/>
          <w:szCs w:val="20"/>
        </w:rPr>
        <w:t xml:space="preserve"> – obszar ten porusza dwa aspekty, pierwszym jest ubezpieczenie uczestnika od pierwszego dnia jego uczestnictwa w CIS. W chwili obecnej uczestnik ma prawo do składki zdrowotnej po pomyślnym zakończeniu okresu próbnego czyli po 30 dniach, chyba, że przed przystąpieniem do realizacji indywidualnego programu zatrudnienia socjalnego był zarejestrowany w PUP. Składka zdrowotna opłacana jest przez </w:t>
      </w:r>
      <w:r>
        <w:rPr>
          <w:rFonts w:ascii="Tahoma" w:eastAsia="Tahoma" w:hAnsi="Tahoma" w:cs="Tahoma"/>
          <w:sz w:val="20"/>
          <w:szCs w:val="20"/>
        </w:rPr>
        <w:br/>
        <w:t>OPS-y co powoduje kolejne niekorzystne sytuacje dla uczestnika. W wielu przypadkach Ośrodki Pomocy Społecznej traktują składkę jako pomoc finansową i weryfikują u Uczestników kryterium dochodowe. Osoba, która przystąpi do programu (IPZS) w centrum integracji społecznej nie ma możliwości skorzystania z innego tytułu do składki zdrowotnej, a sytuacja, w której się znajduje uniemożliwia korzystanie z ubezpieczenia przez 30 dni, a potem, w zależności od OPS, także może jej nie otrzymać.  Koniecznym jest przeniesienie obowiązku opłacania składki zdrowotnej uczestnikom z OPS do CIS jako płatnika składki. Warto zaznaczyć, że centra są płatnikami składek na ubezpieczenie emerytalne i rentowe oraz podatku dochodowego od osób fizycznych, które są odprowadzane od świadczenia integracyjnego wypłacanego uczestnikowi przez centra. Dlatego zasadnym jest by jedynymi płatnikami składek wobec uczestników były centra integracji społecznej.</w:t>
      </w:r>
    </w:p>
    <w:p w14:paraId="5802CFBB" w14:textId="77777777" w:rsidR="00813077" w:rsidRDefault="00813077" w:rsidP="00813077">
      <w:pPr>
        <w:widowControl w:val="0"/>
        <w:numPr>
          <w:ilvl w:val="0"/>
          <w:numId w:val="11"/>
        </w:numPr>
        <w:spacing w:before="240" w:after="0" w:line="360" w:lineRule="auto"/>
        <w:jc w:val="both"/>
        <w:rPr>
          <w:rFonts w:ascii="Tahoma" w:eastAsia="Tahoma" w:hAnsi="Tahoma" w:cs="Tahoma"/>
          <w:sz w:val="20"/>
          <w:szCs w:val="20"/>
        </w:rPr>
      </w:pPr>
      <w:bookmarkStart w:id="1" w:name="_heading=h.gjdgxs" w:colFirst="0" w:colLast="0"/>
      <w:bookmarkEnd w:id="1"/>
      <w:r>
        <w:rPr>
          <w:rFonts w:ascii="Tahoma" w:eastAsia="Tahoma" w:hAnsi="Tahoma" w:cs="Tahoma"/>
          <w:b/>
          <w:sz w:val="20"/>
          <w:szCs w:val="20"/>
        </w:rPr>
        <w:t>szkolenia zawodowe dla uczestników CIS –</w:t>
      </w:r>
      <w:r>
        <w:rPr>
          <w:rFonts w:ascii="Tahoma" w:eastAsia="Tahoma" w:hAnsi="Tahoma" w:cs="Tahoma"/>
          <w:sz w:val="20"/>
          <w:szCs w:val="20"/>
        </w:rPr>
        <w:t xml:space="preserve"> biorąc pod uwagę fakt, że centra integracji społecznej nie posiadają systemowego finansowania, zasadnym wydaje się fakt aby uczestnicy CIS mogli korzystać ze szkoleń oferowanych przez Powiatowe Urzędy Pracy. Niezbędna byłaby tu konieczność rejestracji w PUP, uczestników CIS, jako osób poszukujących pracy. Chcielibyśmy </w:t>
      </w:r>
      <w:r>
        <w:rPr>
          <w:rFonts w:ascii="Tahoma" w:eastAsia="Tahoma" w:hAnsi="Tahoma" w:cs="Tahoma"/>
          <w:sz w:val="20"/>
          <w:szCs w:val="20"/>
        </w:rPr>
        <w:lastRenderedPageBreak/>
        <w:t>aby podczas pobytu w CIS uczestnik mógł podnieść lub uzyskać nowe kwalifikacje zawodowe, co z kolei da odpowiedź na zapotrzebowanie rynku pracy. Możliwość korzystania z w/w szkoleń otworzyłaby kolejne możliwości dla uczestników na rynku pracy.</w:t>
      </w:r>
    </w:p>
    <w:p w14:paraId="7EE82401" w14:textId="5970986D" w:rsidR="00813077" w:rsidRDefault="00813077" w:rsidP="00813077">
      <w:pPr>
        <w:widowControl w:val="0"/>
        <w:numPr>
          <w:ilvl w:val="0"/>
          <w:numId w:val="11"/>
        </w:numPr>
        <w:spacing w:before="240" w:after="0" w:line="360" w:lineRule="auto"/>
        <w:jc w:val="both"/>
        <w:rPr>
          <w:rFonts w:ascii="Tahoma" w:eastAsia="Tahoma" w:hAnsi="Tahoma" w:cs="Tahoma"/>
          <w:sz w:val="20"/>
          <w:szCs w:val="20"/>
        </w:rPr>
      </w:pPr>
      <w:r>
        <w:rPr>
          <w:rFonts w:ascii="Tahoma" w:eastAsia="Tahoma" w:hAnsi="Tahoma" w:cs="Tahoma"/>
          <w:b/>
          <w:sz w:val="20"/>
          <w:szCs w:val="20"/>
        </w:rPr>
        <w:t xml:space="preserve">systemowe finansowanie podmiotów zatrudnienia socjalnego </w:t>
      </w:r>
      <w:r>
        <w:rPr>
          <w:rFonts w:ascii="Tahoma" w:eastAsia="Tahoma" w:hAnsi="Tahoma" w:cs="Tahoma"/>
          <w:sz w:val="20"/>
          <w:szCs w:val="20"/>
        </w:rPr>
        <w:t xml:space="preserve">– zależy nam na wspólnym wypracowaniu rozwiązań sprawiedliwych dla podmiotów pozarządowych jak </w:t>
      </w:r>
      <w:r>
        <w:rPr>
          <w:rFonts w:ascii="Tahoma" w:eastAsia="Tahoma" w:hAnsi="Tahoma" w:cs="Tahoma"/>
          <w:sz w:val="20"/>
          <w:szCs w:val="20"/>
        </w:rPr>
        <w:br/>
        <w:t xml:space="preserve">i samorządowych.  Warto wskazać w tym miejscu, że podmioty zatrudnienia socjalnego są jedynymi podmiotami integracyjnymi pozbawionymi systemowego finansowania. Jako bardzo niepokojące odbieramy głosy uzależniające finansowanie centrów integracji społecznej od efektywności zatrudnieniowej uczestników – jest to dla nas nieakceptowalne, gdyż spowoduje niedostępność systemu dla najmniej rokujących uczestników oraz negatywne i bardzo szkodliwe zjawiska. </w:t>
      </w:r>
    </w:p>
    <w:p w14:paraId="2ABA29DC" w14:textId="562C4004" w:rsidR="00813077" w:rsidRDefault="00813077" w:rsidP="00813077">
      <w:pPr>
        <w:spacing w:before="240" w:line="360" w:lineRule="auto"/>
        <w:ind w:left="720"/>
        <w:jc w:val="both"/>
        <w:rPr>
          <w:rFonts w:ascii="Tahoma" w:eastAsia="Tahoma" w:hAnsi="Tahoma" w:cs="Tahoma"/>
          <w:b/>
          <w:sz w:val="20"/>
          <w:szCs w:val="20"/>
        </w:rPr>
      </w:pPr>
      <w:r>
        <w:rPr>
          <w:rFonts w:ascii="Tahoma" w:eastAsia="Tahoma" w:hAnsi="Tahoma" w:cs="Tahoma"/>
          <w:b/>
          <w:sz w:val="20"/>
          <w:szCs w:val="20"/>
        </w:rPr>
        <w:t>Obszar ten jest dla PZS niezwykle istotny, jednak zdajemy sobie sprawę, że wiąże się z licznymi konsultacjami i koniecznymi procesami. Liczymy jednak, że zostanie on wzięty pod uwagę w pracach Ministerstwa Rodziny</w:t>
      </w:r>
      <w:r w:rsidR="00666A55">
        <w:rPr>
          <w:rFonts w:ascii="Tahoma" w:eastAsia="Tahoma" w:hAnsi="Tahoma" w:cs="Tahoma"/>
          <w:b/>
          <w:sz w:val="20"/>
          <w:szCs w:val="20"/>
        </w:rPr>
        <w:t>,</w:t>
      </w:r>
      <w:r>
        <w:rPr>
          <w:rFonts w:ascii="Tahoma" w:eastAsia="Tahoma" w:hAnsi="Tahoma" w:cs="Tahoma"/>
          <w:b/>
          <w:sz w:val="20"/>
          <w:szCs w:val="20"/>
        </w:rPr>
        <w:t xml:space="preserve"> Pracy i Polityki Społecznej związanych z systemowymi zmianami w zatrudnieniu socjalnym. </w:t>
      </w:r>
    </w:p>
    <w:p w14:paraId="42E49B30" w14:textId="4F9461E4" w:rsidR="00813077" w:rsidRPr="00813077" w:rsidRDefault="00813077" w:rsidP="00813077">
      <w:pPr>
        <w:numPr>
          <w:ilvl w:val="0"/>
          <w:numId w:val="11"/>
        </w:numPr>
        <w:pBdr>
          <w:top w:val="nil"/>
          <w:left w:val="nil"/>
          <w:bottom w:val="nil"/>
          <w:right w:val="nil"/>
          <w:between w:val="nil"/>
        </w:pBdr>
        <w:spacing w:before="240" w:after="0" w:line="360" w:lineRule="auto"/>
        <w:jc w:val="both"/>
        <w:rPr>
          <w:rFonts w:ascii="Tahoma" w:eastAsia="Tahoma" w:hAnsi="Tahoma" w:cs="Tahoma"/>
          <w:b/>
          <w:color w:val="000000"/>
          <w:sz w:val="20"/>
          <w:szCs w:val="20"/>
        </w:rPr>
      </w:pPr>
      <w:r>
        <w:rPr>
          <w:rFonts w:ascii="Tahoma" w:eastAsia="Tahoma" w:hAnsi="Tahoma" w:cs="Tahoma"/>
          <w:b/>
          <w:color w:val="000000"/>
          <w:sz w:val="20"/>
          <w:szCs w:val="20"/>
        </w:rPr>
        <w:t>standardy współpracy instytucji</w:t>
      </w:r>
      <w:r>
        <w:rPr>
          <w:rFonts w:ascii="Tahoma" w:eastAsia="Tahoma" w:hAnsi="Tahoma" w:cs="Tahoma"/>
          <w:color w:val="000000"/>
          <w:sz w:val="20"/>
          <w:szCs w:val="20"/>
        </w:rPr>
        <w:t xml:space="preserve"> </w:t>
      </w:r>
      <w:r>
        <w:rPr>
          <w:rFonts w:ascii="Tahoma" w:eastAsia="Tahoma" w:hAnsi="Tahoma" w:cs="Tahoma"/>
          <w:b/>
          <w:color w:val="000000"/>
          <w:sz w:val="20"/>
          <w:szCs w:val="20"/>
        </w:rPr>
        <w:t>pomocowych</w:t>
      </w:r>
      <w:r>
        <w:rPr>
          <w:rFonts w:ascii="Tahoma" w:eastAsia="Tahoma" w:hAnsi="Tahoma" w:cs="Tahoma"/>
          <w:color w:val="000000"/>
          <w:sz w:val="20"/>
          <w:szCs w:val="20"/>
        </w:rPr>
        <w:t xml:space="preserve"> – mające na celu uwzględnienie CIS-ów</w:t>
      </w:r>
      <w:r>
        <w:rPr>
          <w:rFonts w:ascii="Tahoma" w:eastAsia="Tahoma" w:hAnsi="Tahoma" w:cs="Tahoma"/>
          <w:sz w:val="20"/>
          <w:szCs w:val="20"/>
        </w:rPr>
        <w:t xml:space="preserve"> </w:t>
      </w:r>
      <w:r>
        <w:rPr>
          <w:rFonts w:ascii="Tahoma" w:eastAsia="Tahoma" w:hAnsi="Tahoma" w:cs="Tahoma"/>
          <w:sz w:val="20"/>
          <w:szCs w:val="20"/>
        </w:rPr>
        <w:br/>
      </w:r>
      <w:r>
        <w:rPr>
          <w:rFonts w:ascii="Tahoma" w:eastAsia="Tahoma" w:hAnsi="Tahoma" w:cs="Tahoma"/>
          <w:color w:val="000000"/>
          <w:sz w:val="20"/>
          <w:szCs w:val="20"/>
        </w:rPr>
        <w:t xml:space="preserve">w systemie wsparcia, opracowanie ścieżki współpracy instytucji ze wskazaniem zadań. Niezbędne jest podjęcie działań mających na celu synergię </w:t>
      </w:r>
      <w:r w:rsidRPr="0087016F">
        <w:rPr>
          <w:rFonts w:ascii="Tahoma" w:eastAsia="Tahoma" w:hAnsi="Tahoma" w:cs="Tahoma"/>
          <w:sz w:val="20"/>
          <w:szCs w:val="20"/>
        </w:rPr>
        <w:t xml:space="preserve">działań, a nie powielanie wsparcia. Obligatoryjne kierowanie do CIS przez inne instytucje tj.: PUP, OPS, Zespoły Kuratorskiej Służby, Wojewódzkie Ośrodki Terapii Uzależnień, Sądy Penitencjarne wydające </w:t>
      </w:r>
      <w:r>
        <w:rPr>
          <w:rFonts w:ascii="Tahoma" w:eastAsia="Tahoma" w:hAnsi="Tahoma" w:cs="Tahoma"/>
          <w:color w:val="000000"/>
          <w:sz w:val="20"/>
          <w:szCs w:val="20"/>
        </w:rPr>
        <w:t xml:space="preserve">orzeczenia </w:t>
      </w:r>
      <w:r>
        <w:rPr>
          <w:rFonts w:ascii="Tahoma" w:eastAsia="Tahoma" w:hAnsi="Tahoma" w:cs="Tahoma"/>
          <w:color w:val="000000"/>
          <w:sz w:val="20"/>
          <w:szCs w:val="20"/>
        </w:rPr>
        <w:br/>
        <w:t xml:space="preserve">w ramach warunkowego przedterminowego zwolnienia itp.. Niezwykle istotną jest również potrzeba dostępu do programów/platform tj.: Syriusz czy Pomost, co pozwoli centrom na udzielenie wsparcia osobom, które nie korzystają równolegle ze świadczeń, czy wsparcia innych instytucji pomocowych, czy też na etapie procesu rekrutacji, określenie statusu kandydata na rynku </w:t>
      </w:r>
      <w:r w:rsidRPr="00813077">
        <w:rPr>
          <w:rFonts w:ascii="Tahoma" w:eastAsia="Tahoma" w:hAnsi="Tahoma" w:cs="Tahoma"/>
          <w:color w:val="000000"/>
          <w:sz w:val="20"/>
          <w:szCs w:val="20"/>
        </w:rPr>
        <w:t>pracy.</w:t>
      </w:r>
    </w:p>
    <w:p w14:paraId="5722581A" w14:textId="77777777" w:rsidR="00813077" w:rsidRPr="00813077" w:rsidRDefault="00813077" w:rsidP="00813077">
      <w:pPr>
        <w:numPr>
          <w:ilvl w:val="0"/>
          <w:numId w:val="11"/>
        </w:numPr>
        <w:pBdr>
          <w:top w:val="nil"/>
          <w:left w:val="nil"/>
          <w:bottom w:val="nil"/>
          <w:right w:val="nil"/>
          <w:between w:val="nil"/>
        </w:pBdr>
        <w:spacing w:before="240" w:after="0" w:line="360" w:lineRule="auto"/>
        <w:jc w:val="both"/>
        <w:rPr>
          <w:rFonts w:ascii="Tahoma" w:eastAsia="Tahoma" w:hAnsi="Tahoma" w:cs="Tahoma"/>
          <w:color w:val="000000"/>
          <w:sz w:val="20"/>
          <w:szCs w:val="20"/>
        </w:rPr>
      </w:pPr>
      <w:r w:rsidRPr="00813077">
        <w:rPr>
          <w:rFonts w:ascii="Tahoma" w:eastAsia="Tahoma" w:hAnsi="Tahoma" w:cs="Tahoma"/>
          <w:b/>
          <w:color w:val="000000"/>
          <w:sz w:val="20"/>
          <w:szCs w:val="20"/>
        </w:rPr>
        <w:t>Spójność przepisów dotyczących zatrudnienia socjalnego oraz ustawy o ekonomii społecznej</w:t>
      </w:r>
      <w:r w:rsidRPr="00813077">
        <w:rPr>
          <w:rFonts w:ascii="Tahoma" w:eastAsia="Tahoma" w:hAnsi="Tahoma" w:cs="Tahoma"/>
          <w:color w:val="000000"/>
          <w:sz w:val="20"/>
          <w:szCs w:val="20"/>
        </w:rPr>
        <w:t xml:space="preserve"> – niezwykle istotnym jest dla środowiska podmiotów zatrudnienia socjalnego by przepisy zawarte w ustawie o ekonomii społecznej widziały centra i kluby integracji społecznej, jako nieodzowne ogniwo procesu reintegracyjnego osób doświadczających wykluczenia społecznego.  Najważniejsze w naszej ocenie jest by podmioty zatrudnienia socjalnego stały się równoprawnymi podmiotami ekonomii społecznej. By ich niezwykle trudna codzienna praca/działalność nie była marginalizowana i niewidoczna w sektorze ekonomii społecznej.</w:t>
      </w:r>
    </w:p>
    <w:p w14:paraId="3F4BFAED" w14:textId="77777777" w:rsidR="00813077" w:rsidRDefault="00813077" w:rsidP="00813077">
      <w:pPr>
        <w:spacing w:before="240" w:line="360" w:lineRule="auto"/>
        <w:ind w:left="360"/>
        <w:jc w:val="both"/>
        <w:rPr>
          <w:rFonts w:ascii="Tahoma" w:eastAsia="Tahoma" w:hAnsi="Tahoma" w:cs="Tahoma"/>
          <w:sz w:val="20"/>
          <w:szCs w:val="20"/>
        </w:rPr>
      </w:pPr>
    </w:p>
    <w:p w14:paraId="60E62119" w14:textId="77777777" w:rsidR="00813077" w:rsidRDefault="00813077" w:rsidP="00813077">
      <w:pPr>
        <w:spacing w:before="240" w:line="360" w:lineRule="auto"/>
        <w:ind w:left="360"/>
        <w:jc w:val="both"/>
        <w:rPr>
          <w:rFonts w:ascii="Tahoma" w:eastAsia="Tahoma" w:hAnsi="Tahoma" w:cs="Tahoma"/>
          <w:sz w:val="20"/>
          <w:szCs w:val="20"/>
        </w:rPr>
      </w:pPr>
    </w:p>
    <w:p w14:paraId="5B9ACB37" w14:textId="77777777" w:rsidR="00813077" w:rsidRDefault="00813077" w:rsidP="00813077">
      <w:pPr>
        <w:spacing w:before="240" w:line="360" w:lineRule="auto"/>
        <w:ind w:left="360"/>
        <w:jc w:val="both"/>
        <w:rPr>
          <w:rFonts w:ascii="Tahoma" w:eastAsia="Tahoma" w:hAnsi="Tahoma" w:cs="Tahoma"/>
          <w:sz w:val="20"/>
          <w:szCs w:val="20"/>
        </w:rPr>
      </w:pPr>
      <w:r w:rsidRPr="00813077">
        <w:rPr>
          <w:rFonts w:ascii="Tahoma" w:eastAsia="Tahoma" w:hAnsi="Tahoma" w:cs="Tahoma"/>
          <w:sz w:val="20"/>
          <w:szCs w:val="20"/>
        </w:rPr>
        <w:lastRenderedPageBreak/>
        <w:t>Poniżej wskazujemy kolejne obszary, które stanowią odpowiedź na realne potrzeby</w:t>
      </w:r>
      <w:r>
        <w:rPr>
          <w:rFonts w:ascii="Tahoma" w:eastAsia="Tahoma" w:hAnsi="Tahoma" w:cs="Tahoma"/>
          <w:sz w:val="20"/>
          <w:szCs w:val="20"/>
        </w:rPr>
        <w:t xml:space="preserve"> PZS oraz stanowią dalsze kierunkowe zmiany w zatrudnieniu socjalnym. Należą do nich : </w:t>
      </w:r>
    </w:p>
    <w:p w14:paraId="5C72DACA" w14:textId="77777777" w:rsidR="00813077" w:rsidRDefault="00813077" w:rsidP="00813077">
      <w:pPr>
        <w:widowControl w:val="0"/>
        <w:numPr>
          <w:ilvl w:val="0"/>
          <w:numId w:val="12"/>
        </w:numPr>
        <w:spacing w:before="240" w:after="0" w:line="360" w:lineRule="auto"/>
        <w:jc w:val="both"/>
        <w:rPr>
          <w:rFonts w:ascii="Tahoma" w:eastAsia="Tahoma" w:hAnsi="Tahoma" w:cs="Tahoma"/>
          <w:b/>
          <w:sz w:val="20"/>
          <w:szCs w:val="20"/>
        </w:rPr>
      </w:pPr>
      <w:r>
        <w:rPr>
          <w:rFonts w:ascii="Tahoma" w:eastAsia="Tahoma" w:hAnsi="Tahoma" w:cs="Tahoma"/>
          <w:b/>
          <w:sz w:val="20"/>
          <w:szCs w:val="20"/>
        </w:rPr>
        <w:t xml:space="preserve">monitoring losów absolwentów CIS/KIS - </w:t>
      </w:r>
      <w:r>
        <w:rPr>
          <w:rFonts w:ascii="Tahoma" w:eastAsia="Tahoma" w:hAnsi="Tahoma" w:cs="Tahoma"/>
          <w:sz w:val="20"/>
          <w:szCs w:val="20"/>
        </w:rPr>
        <w:t xml:space="preserve">wskazany obszar porusza badanie postępów reintegracji uczestników CIS i KIS.  W chwili obecnej kadra Centrum nie ma żadnej możliwości formalno-prawnej do monitorowania sytuacji uczestnika CIS po zakończeniu realizacji IPZS. </w:t>
      </w:r>
    </w:p>
    <w:p w14:paraId="3D40611B" w14:textId="77777777" w:rsidR="00813077" w:rsidRDefault="00813077" w:rsidP="00813077">
      <w:pPr>
        <w:widowControl w:val="0"/>
        <w:numPr>
          <w:ilvl w:val="0"/>
          <w:numId w:val="12"/>
        </w:numPr>
        <w:spacing w:before="240" w:after="0" w:line="360" w:lineRule="auto"/>
        <w:jc w:val="both"/>
        <w:rPr>
          <w:rFonts w:ascii="Tahoma" w:eastAsia="Tahoma" w:hAnsi="Tahoma" w:cs="Tahoma"/>
          <w:sz w:val="20"/>
          <w:szCs w:val="20"/>
        </w:rPr>
      </w:pPr>
      <w:r>
        <w:rPr>
          <w:rFonts w:ascii="Tahoma" w:eastAsia="Tahoma" w:hAnsi="Tahoma" w:cs="Tahoma"/>
          <w:b/>
          <w:sz w:val="20"/>
          <w:szCs w:val="20"/>
        </w:rPr>
        <w:t xml:space="preserve">sprawozdawczość w CIS - </w:t>
      </w:r>
      <w:r>
        <w:rPr>
          <w:rFonts w:ascii="Tahoma" w:eastAsia="Tahoma" w:hAnsi="Tahoma" w:cs="Tahoma"/>
          <w:sz w:val="20"/>
          <w:szCs w:val="20"/>
        </w:rPr>
        <w:t xml:space="preserve">za kwestię wymagającą zmiany uznajemy sposób raportowania jakiemu podlegają centra integracji społecznej. Bezwzględna jest zmiana wzoru sprawozdania </w:t>
      </w:r>
      <w:r>
        <w:rPr>
          <w:rFonts w:ascii="Tahoma" w:eastAsia="Tahoma" w:hAnsi="Tahoma" w:cs="Tahoma"/>
          <w:sz w:val="20"/>
          <w:szCs w:val="20"/>
        </w:rPr>
        <w:br/>
        <w:t xml:space="preserve">w CAS. W żaden sposób nie oddaje ono efektów działań, uniemożliwia rzetelne przedstawienie przychodów, kosztów i innych aspektów działalności. Widzimy konieczność ujęcia w CAS budżetów powiatu w źródłach finansowania. Poszerzenie sprawozdania w zakresie wskazywania kadry, efektów działalności jednostek oraz możliwości wskazania wielokrotnego problemu wykluczenia u jednego uczestnika, którego konsekwencją jest zwiększony zakres udzielanego wsparcia, a w konsekwencji wzrost kosztów takiego wieloaspektowego wsparcia. </w:t>
      </w:r>
    </w:p>
    <w:p w14:paraId="69DA2DF6" w14:textId="77777777" w:rsidR="00813077" w:rsidRDefault="00813077" w:rsidP="00813077">
      <w:pPr>
        <w:widowControl w:val="0"/>
        <w:numPr>
          <w:ilvl w:val="0"/>
          <w:numId w:val="12"/>
        </w:numPr>
        <w:spacing w:before="240" w:after="0" w:line="360" w:lineRule="auto"/>
        <w:jc w:val="both"/>
        <w:rPr>
          <w:rFonts w:ascii="Tahoma" w:eastAsia="Tahoma" w:hAnsi="Tahoma" w:cs="Tahoma"/>
          <w:b/>
          <w:sz w:val="20"/>
          <w:szCs w:val="20"/>
        </w:rPr>
      </w:pPr>
      <w:r>
        <w:rPr>
          <w:rFonts w:ascii="Tahoma" w:eastAsia="Tahoma" w:hAnsi="Tahoma" w:cs="Tahoma"/>
          <w:b/>
          <w:sz w:val="20"/>
          <w:szCs w:val="20"/>
        </w:rPr>
        <w:t xml:space="preserve">kadra CIS - </w:t>
      </w:r>
      <w:r>
        <w:rPr>
          <w:rFonts w:ascii="Tahoma" w:eastAsia="Tahoma" w:hAnsi="Tahoma" w:cs="Tahoma"/>
          <w:sz w:val="20"/>
          <w:szCs w:val="20"/>
        </w:rPr>
        <w:t xml:space="preserve">obszar ten wymaga na nowo określenia kto stanowi kadrę CIS (kto jest pracownikiem zgodnie z zapisami Kodeksu Pracy) i w jakim wymiarze w związku z realizacją niezbędnych standardów. </w:t>
      </w:r>
    </w:p>
    <w:p w14:paraId="72221872" w14:textId="77777777" w:rsidR="00813077" w:rsidRDefault="00813077" w:rsidP="00813077">
      <w:pPr>
        <w:widowControl w:val="0"/>
        <w:numPr>
          <w:ilvl w:val="0"/>
          <w:numId w:val="12"/>
        </w:numPr>
        <w:spacing w:before="240" w:after="0" w:line="360" w:lineRule="auto"/>
        <w:jc w:val="both"/>
        <w:rPr>
          <w:rFonts w:ascii="Tahoma" w:eastAsia="Tahoma" w:hAnsi="Tahoma" w:cs="Tahoma"/>
          <w:sz w:val="20"/>
          <w:szCs w:val="20"/>
        </w:rPr>
      </w:pPr>
      <w:r>
        <w:rPr>
          <w:rFonts w:ascii="Tahoma" w:eastAsia="Tahoma" w:hAnsi="Tahoma" w:cs="Tahoma"/>
          <w:b/>
          <w:sz w:val="20"/>
          <w:szCs w:val="20"/>
        </w:rPr>
        <w:t xml:space="preserve">ramowe wzory dokumentów - </w:t>
      </w:r>
      <w:r>
        <w:rPr>
          <w:rFonts w:ascii="Tahoma" w:eastAsia="Tahoma" w:hAnsi="Tahoma" w:cs="Tahoma"/>
          <w:sz w:val="20"/>
          <w:szCs w:val="20"/>
        </w:rPr>
        <w:t>główne narzędzie Ustawy o zatrudnieniu socjalnym to Indywidualny Program Zatrudnienia Socjalnego.  W naszej opinii powinien we wszystkich Centrach posiadać podobne ramy i standardy, z uwzględnieniem wewnętrznych regulacji. Proponujemy, opracowanie</w:t>
      </w:r>
      <w:r w:rsidRPr="00834780">
        <w:rPr>
          <w:rFonts w:ascii="Tahoma" w:eastAsia="Tahoma" w:hAnsi="Tahoma" w:cs="Tahoma"/>
          <w:color w:val="FF0000"/>
          <w:sz w:val="20"/>
          <w:szCs w:val="20"/>
        </w:rPr>
        <w:t xml:space="preserve"> </w:t>
      </w:r>
      <w:r>
        <w:rPr>
          <w:rFonts w:ascii="Tahoma" w:eastAsia="Tahoma" w:hAnsi="Tahoma" w:cs="Tahoma"/>
          <w:sz w:val="20"/>
          <w:szCs w:val="20"/>
        </w:rPr>
        <w:t xml:space="preserve">wzoru IPZS przystosowanego do modyfikacji i etapów jego realizacji. IPZS powinien określać niezbędne minimum, które uczestnik programu ma zagwarantowane </w:t>
      </w:r>
      <w:r>
        <w:rPr>
          <w:rFonts w:ascii="Tahoma" w:eastAsia="Tahoma" w:hAnsi="Tahoma" w:cs="Tahoma"/>
          <w:sz w:val="20"/>
          <w:szCs w:val="20"/>
        </w:rPr>
        <w:br/>
        <w:t>w każdym Centrum.</w:t>
      </w:r>
    </w:p>
    <w:p w14:paraId="2110C4B4" w14:textId="77777777" w:rsidR="00813077" w:rsidRDefault="00813077" w:rsidP="00813077">
      <w:pPr>
        <w:widowControl w:val="0"/>
        <w:numPr>
          <w:ilvl w:val="0"/>
          <w:numId w:val="12"/>
        </w:numPr>
        <w:spacing w:before="240" w:after="0" w:line="360" w:lineRule="auto"/>
        <w:jc w:val="both"/>
        <w:rPr>
          <w:rFonts w:ascii="Tahoma" w:eastAsia="Tahoma" w:hAnsi="Tahoma" w:cs="Tahoma"/>
          <w:b/>
          <w:sz w:val="20"/>
          <w:szCs w:val="20"/>
        </w:rPr>
      </w:pPr>
      <w:r>
        <w:rPr>
          <w:rFonts w:ascii="Tahoma" w:eastAsia="Tahoma" w:hAnsi="Tahoma" w:cs="Tahoma"/>
          <w:b/>
          <w:sz w:val="20"/>
          <w:szCs w:val="20"/>
        </w:rPr>
        <w:t xml:space="preserve">badanie postępów reintegracyjnych uczestników CIS/KIS - </w:t>
      </w:r>
      <w:r>
        <w:rPr>
          <w:rFonts w:ascii="Tahoma" w:eastAsia="Tahoma" w:hAnsi="Tahoma" w:cs="Tahoma"/>
          <w:sz w:val="20"/>
          <w:szCs w:val="20"/>
        </w:rPr>
        <w:t xml:space="preserve">aby ten obszar mógł funkcjonować i być przydatnym źródłem wiedzy i danych niezbędne jest opracowanie narzędzia pomiaru oceny i ewaluacji postępów uczestnika w programie. Obecnie efekty reintegracyjne mierzone są przez każdy z PZS we własnym zakresie co nie daje możliwości porównawczych na poziomie sprawozdawczości. </w:t>
      </w:r>
    </w:p>
    <w:p w14:paraId="1B56E776" w14:textId="77777777" w:rsidR="00813077" w:rsidRDefault="00813077" w:rsidP="00813077">
      <w:pPr>
        <w:widowControl w:val="0"/>
        <w:numPr>
          <w:ilvl w:val="0"/>
          <w:numId w:val="12"/>
        </w:numPr>
        <w:spacing w:before="240" w:after="0" w:line="360" w:lineRule="auto"/>
        <w:jc w:val="both"/>
        <w:rPr>
          <w:rFonts w:ascii="Tahoma" w:eastAsia="Tahoma" w:hAnsi="Tahoma" w:cs="Tahoma"/>
          <w:sz w:val="20"/>
          <w:szCs w:val="20"/>
        </w:rPr>
      </w:pPr>
      <w:r>
        <w:rPr>
          <w:rFonts w:ascii="Tahoma" w:eastAsia="Tahoma" w:hAnsi="Tahoma" w:cs="Tahoma"/>
          <w:b/>
          <w:sz w:val="20"/>
          <w:szCs w:val="20"/>
        </w:rPr>
        <w:t>niezbędne minimum dotyczące form wsparcia</w:t>
      </w:r>
      <w:r>
        <w:rPr>
          <w:rFonts w:ascii="Tahoma" w:eastAsia="Tahoma" w:hAnsi="Tahoma" w:cs="Tahoma"/>
          <w:sz w:val="20"/>
          <w:szCs w:val="20"/>
        </w:rPr>
        <w:t xml:space="preserve"> – warto zastanowić się w tym obszarze, czy zasadnym nie byłoby określenie standardu minimum realizacji reintegracji społecznej </w:t>
      </w:r>
      <w:r>
        <w:rPr>
          <w:rFonts w:ascii="Tahoma" w:eastAsia="Tahoma" w:hAnsi="Tahoma" w:cs="Tahoma"/>
          <w:sz w:val="20"/>
          <w:szCs w:val="20"/>
        </w:rPr>
        <w:br/>
        <w:t xml:space="preserve">i zawodowej. </w:t>
      </w:r>
    </w:p>
    <w:p w14:paraId="6FFA6AF0" w14:textId="77777777" w:rsidR="00813077" w:rsidRDefault="00813077" w:rsidP="00813077">
      <w:pPr>
        <w:widowControl w:val="0"/>
        <w:numPr>
          <w:ilvl w:val="0"/>
          <w:numId w:val="12"/>
        </w:numPr>
        <w:spacing w:before="240" w:after="0" w:line="360" w:lineRule="auto"/>
        <w:jc w:val="both"/>
        <w:rPr>
          <w:rFonts w:ascii="Tahoma" w:eastAsia="Tahoma" w:hAnsi="Tahoma" w:cs="Tahoma"/>
          <w:sz w:val="20"/>
          <w:szCs w:val="20"/>
        </w:rPr>
      </w:pPr>
      <w:r>
        <w:rPr>
          <w:rFonts w:ascii="Tahoma" w:eastAsia="Tahoma" w:hAnsi="Tahoma" w:cs="Tahoma"/>
          <w:b/>
          <w:sz w:val="20"/>
          <w:szCs w:val="20"/>
        </w:rPr>
        <w:t>katalog uczestników CIS</w:t>
      </w:r>
      <w:r>
        <w:rPr>
          <w:rFonts w:ascii="Tahoma" w:eastAsia="Tahoma" w:hAnsi="Tahoma" w:cs="Tahoma"/>
          <w:sz w:val="20"/>
          <w:szCs w:val="20"/>
        </w:rPr>
        <w:t xml:space="preserve"> – warto zastanowić się w tym obszarze czy w związku z licznymi zmianami w strukturze rynku pracy nie należałoby dostosować katalogu zawartego w art. 2 ust. 1 ustawy o zatrudnieniu socjalnym do wytycznych UE i ustawy o ES poprzez dodanie do niego </w:t>
      </w:r>
      <w:r>
        <w:rPr>
          <w:rFonts w:ascii="Tahoma" w:eastAsia="Tahoma" w:hAnsi="Tahoma" w:cs="Tahoma"/>
          <w:sz w:val="20"/>
          <w:szCs w:val="20"/>
        </w:rPr>
        <w:lastRenderedPageBreak/>
        <w:t xml:space="preserve">m.in.: osób ubogich pracujących, emerytów i rencistów, którzy chcieliby podnieść swoje kwalifikacje i umiejętności, aby wejść z powrotem na rynek pracy. Osoby pobierające świadczenie pielęgnacyjne, osoby objęte KRUS – właściciele lub członkowie gospodarstw rolnych, bierni zawodowo itp.. </w:t>
      </w:r>
    </w:p>
    <w:p w14:paraId="74E5678E" w14:textId="77777777" w:rsidR="00813077" w:rsidRDefault="00813077" w:rsidP="00813077">
      <w:pPr>
        <w:widowControl w:val="0"/>
        <w:numPr>
          <w:ilvl w:val="0"/>
          <w:numId w:val="12"/>
        </w:numPr>
        <w:spacing w:before="240" w:after="0" w:line="360" w:lineRule="auto"/>
        <w:jc w:val="both"/>
        <w:rPr>
          <w:rFonts w:ascii="Tahoma" w:eastAsia="Tahoma" w:hAnsi="Tahoma" w:cs="Tahoma"/>
          <w:sz w:val="20"/>
          <w:szCs w:val="20"/>
        </w:rPr>
      </w:pPr>
      <w:r>
        <w:rPr>
          <w:rFonts w:ascii="Tahoma" w:eastAsia="Tahoma" w:hAnsi="Tahoma" w:cs="Tahoma"/>
          <w:b/>
          <w:sz w:val="20"/>
          <w:szCs w:val="20"/>
        </w:rPr>
        <w:t xml:space="preserve">wsparcie szkoleniowe dla pracowników/kadry PZS, w tym </w:t>
      </w:r>
      <w:proofErr w:type="spellStart"/>
      <w:r>
        <w:rPr>
          <w:rFonts w:ascii="Tahoma" w:eastAsia="Tahoma" w:hAnsi="Tahoma" w:cs="Tahoma"/>
          <w:b/>
          <w:sz w:val="20"/>
          <w:szCs w:val="20"/>
        </w:rPr>
        <w:t>superwizja</w:t>
      </w:r>
      <w:proofErr w:type="spellEnd"/>
      <w:r>
        <w:rPr>
          <w:rFonts w:ascii="Tahoma" w:eastAsia="Tahoma" w:hAnsi="Tahoma" w:cs="Tahoma"/>
          <w:b/>
          <w:sz w:val="20"/>
          <w:szCs w:val="20"/>
        </w:rPr>
        <w:t xml:space="preserve"> </w:t>
      </w:r>
      <w:r>
        <w:rPr>
          <w:rFonts w:ascii="Tahoma" w:eastAsia="Tahoma" w:hAnsi="Tahoma" w:cs="Tahoma"/>
          <w:sz w:val="20"/>
          <w:szCs w:val="20"/>
        </w:rPr>
        <w:t xml:space="preserve">– narzędzia dla kadry, specjalistów w CIS jako forma przeciwdziałania wypaleniu zawodowemu oraz podnosząca jakość świadczonej pracy. </w:t>
      </w:r>
    </w:p>
    <w:p w14:paraId="08C81E5C" w14:textId="77777777" w:rsidR="00813077" w:rsidRDefault="00813077" w:rsidP="00813077">
      <w:pPr>
        <w:spacing w:before="240" w:line="360" w:lineRule="auto"/>
        <w:jc w:val="both"/>
        <w:rPr>
          <w:rFonts w:ascii="Tahoma" w:eastAsia="Tahoma" w:hAnsi="Tahoma" w:cs="Tahoma"/>
          <w:sz w:val="20"/>
          <w:szCs w:val="20"/>
        </w:rPr>
      </w:pPr>
    </w:p>
    <w:p w14:paraId="0B52C389" w14:textId="77777777" w:rsidR="00813077" w:rsidRPr="00EA34BC" w:rsidRDefault="00813077" w:rsidP="00935E99">
      <w:pPr>
        <w:spacing w:line="360" w:lineRule="auto"/>
        <w:ind w:left="360"/>
        <w:jc w:val="both"/>
        <w:rPr>
          <w:rFonts w:ascii="Lato" w:hAnsi="Lato"/>
          <w:sz w:val="20"/>
          <w:szCs w:val="20"/>
        </w:rPr>
      </w:pPr>
    </w:p>
    <w:sectPr w:rsidR="00813077" w:rsidRPr="00EA34BC" w:rsidSect="00532C77">
      <w:headerReference w:type="first" r:id="rId7"/>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07902" w14:textId="77777777" w:rsidR="00B16AAF" w:rsidRDefault="00B16AAF" w:rsidP="00A91D75">
      <w:pPr>
        <w:spacing w:after="0" w:line="240" w:lineRule="auto"/>
      </w:pPr>
      <w:r>
        <w:separator/>
      </w:r>
    </w:p>
  </w:endnote>
  <w:endnote w:type="continuationSeparator" w:id="0">
    <w:p w14:paraId="2B56EF95" w14:textId="77777777" w:rsidR="00B16AAF" w:rsidRDefault="00B16AAF" w:rsidP="00A9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Calibri"/>
    <w:charset w:val="EE"/>
    <w:family w:val="swiss"/>
    <w:pitch w:val="variable"/>
    <w:sig w:usb0="00000001"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FE1E4" w14:textId="77777777" w:rsidR="00B16AAF" w:rsidRDefault="00B16AAF" w:rsidP="00A91D75">
      <w:pPr>
        <w:spacing w:after="0" w:line="240" w:lineRule="auto"/>
      </w:pPr>
      <w:r>
        <w:separator/>
      </w:r>
    </w:p>
  </w:footnote>
  <w:footnote w:type="continuationSeparator" w:id="0">
    <w:p w14:paraId="4F9FE3B0" w14:textId="77777777" w:rsidR="00B16AAF" w:rsidRDefault="00B16AAF" w:rsidP="00A91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4263" w14:textId="0E9E6FD8" w:rsidR="00B41A38" w:rsidRDefault="00B41A38" w:rsidP="00A91D75">
    <w:pPr>
      <w:pStyle w:val="Nagwek"/>
      <w:tabs>
        <w:tab w:val="clear" w:pos="4536"/>
        <w:tab w:val="clear" w:pos="9072"/>
        <w:tab w:val="left" w:pos="6225"/>
      </w:tabs>
    </w:pPr>
  </w:p>
  <w:p w14:paraId="34D46DC0" w14:textId="77777777" w:rsidR="00B41A38" w:rsidRDefault="00B41A38" w:rsidP="00A91D75">
    <w:pPr>
      <w:pStyle w:val="Nagwek"/>
      <w:tabs>
        <w:tab w:val="clear" w:pos="4536"/>
        <w:tab w:val="clear" w:pos="9072"/>
        <w:tab w:val="left" w:pos="6225"/>
      </w:tabs>
    </w:pPr>
  </w:p>
  <w:p w14:paraId="386F703C" w14:textId="563F3FFF" w:rsidR="00A91D75" w:rsidRDefault="00B41A38" w:rsidP="00B41A38">
    <w:pPr>
      <w:pStyle w:val="Nagwek"/>
      <w:tabs>
        <w:tab w:val="clear" w:pos="4536"/>
        <w:tab w:val="clear" w:pos="9072"/>
        <w:tab w:val="left" w:pos="6225"/>
      </w:tabs>
      <w:jc w:val="center"/>
    </w:pPr>
    <w:r w:rsidRPr="00B41A38">
      <w:rPr>
        <w:noProof/>
        <w:lang w:eastAsia="pl-PL"/>
      </w:rPr>
      <w:drawing>
        <wp:inline distT="0" distB="0" distL="0" distR="0" wp14:anchorId="08CB1B2A" wp14:editId="5288E21D">
          <wp:extent cx="5760720" cy="841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41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98C"/>
    <w:multiLevelType w:val="hybridMultilevel"/>
    <w:tmpl w:val="03FC2850"/>
    <w:lvl w:ilvl="0" w:tplc="E8E2AC5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2219C4"/>
    <w:multiLevelType w:val="hybridMultilevel"/>
    <w:tmpl w:val="882EECAE"/>
    <w:lvl w:ilvl="0" w:tplc="D9948D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FB90627"/>
    <w:multiLevelType w:val="hybridMultilevel"/>
    <w:tmpl w:val="73FCEE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F8645F4"/>
    <w:multiLevelType w:val="hybridMultilevel"/>
    <w:tmpl w:val="6010B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9322D9"/>
    <w:multiLevelType w:val="hybridMultilevel"/>
    <w:tmpl w:val="E0B63B16"/>
    <w:lvl w:ilvl="0" w:tplc="021C60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BD151EF"/>
    <w:multiLevelType w:val="hybridMultilevel"/>
    <w:tmpl w:val="F25C4F10"/>
    <w:lvl w:ilvl="0" w:tplc="B5F4C6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F455E1D"/>
    <w:multiLevelType w:val="hybridMultilevel"/>
    <w:tmpl w:val="4886B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6A3434"/>
    <w:multiLevelType w:val="hybridMultilevel"/>
    <w:tmpl w:val="B8E821DE"/>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8" w15:restartNumberingAfterBreak="0">
    <w:nsid w:val="5E330887"/>
    <w:multiLevelType w:val="hybridMultilevel"/>
    <w:tmpl w:val="32845CF4"/>
    <w:lvl w:ilvl="0" w:tplc="BEBE01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C3800A2"/>
    <w:multiLevelType w:val="hybridMultilevel"/>
    <w:tmpl w:val="060AFF0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6C7A4D8E"/>
    <w:multiLevelType w:val="multilevel"/>
    <w:tmpl w:val="13EC9E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FA647F"/>
    <w:multiLevelType w:val="multilevel"/>
    <w:tmpl w:val="5E7042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
  </w:num>
  <w:num w:numId="4">
    <w:abstractNumId w:val="5"/>
  </w:num>
  <w:num w:numId="5">
    <w:abstractNumId w:val="4"/>
  </w:num>
  <w:num w:numId="6">
    <w:abstractNumId w:val="9"/>
  </w:num>
  <w:num w:numId="7">
    <w:abstractNumId w:val="7"/>
  </w:num>
  <w:num w:numId="8">
    <w:abstractNumId w:val="3"/>
  </w:num>
  <w:num w:numId="9">
    <w:abstractNumId w:val="6"/>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23"/>
    <w:rsid w:val="000A1746"/>
    <w:rsid w:val="00235E34"/>
    <w:rsid w:val="00251376"/>
    <w:rsid w:val="003100B2"/>
    <w:rsid w:val="00380746"/>
    <w:rsid w:val="003A761A"/>
    <w:rsid w:val="003A7812"/>
    <w:rsid w:val="004D7C23"/>
    <w:rsid w:val="0051488D"/>
    <w:rsid w:val="00532C77"/>
    <w:rsid w:val="00543478"/>
    <w:rsid w:val="005B6877"/>
    <w:rsid w:val="006357D6"/>
    <w:rsid w:val="00666A55"/>
    <w:rsid w:val="008102CD"/>
    <w:rsid w:val="00813077"/>
    <w:rsid w:val="008D7022"/>
    <w:rsid w:val="00935E99"/>
    <w:rsid w:val="00A429B3"/>
    <w:rsid w:val="00A91D75"/>
    <w:rsid w:val="00B146AC"/>
    <w:rsid w:val="00B16AAF"/>
    <w:rsid w:val="00B41A38"/>
    <w:rsid w:val="00BC4414"/>
    <w:rsid w:val="00BD5E1D"/>
    <w:rsid w:val="00D6702E"/>
    <w:rsid w:val="00D9121E"/>
    <w:rsid w:val="00DA50AE"/>
    <w:rsid w:val="00DB4132"/>
    <w:rsid w:val="00DC3ACA"/>
    <w:rsid w:val="00E111F3"/>
    <w:rsid w:val="00E23C9E"/>
    <w:rsid w:val="00E34FD3"/>
    <w:rsid w:val="00EA34BC"/>
    <w:rsid w:val="00FD5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BD1E"/>
  <w15:chartTrackingRefBased/>
  <w15:docId w15:val="{867D8997-F123-4305-9586-23DB9C09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1D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D75"/>
  </w:style>
  <w:style w:type="paragraph" w:styleId="Stopka">
    <w:name w:val="footer"/>
    <w:basedOn w:val="Normalny"/>
    <w:link w:val="StopkaZnak"/>
    <w:uiPriority w:val="99"/>
    <w:unhideWhenUsed/>
    <w:rsid w:val="00A91D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D75"/>
  </w:style>
  <w:style w:type="paragraph" w:styleId="Akapitzlist">
    <w:name w:val="List Paragraph"/>
    <w:basedOn w:val="Normalny"/>
    <w:uiPriority w:val="34"/>
    <w:qFormat/>
    <w:rsid w:val="0053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1377</Words>
  <Characters>8268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Getler</dc:creator>
  <cp:keywords/>
  <dc:description/>
  <cp:lastModifiedBy>Konto Microsoft</cp:lastModifiedBy>
  <cp:revision>4</cp:revision>
  <dcterms:created xsi:type="dcterms:W3CDTF">2024-03-12T08:59:00Z</dcterms:created>
  <dcterms:modified xsi:type="dcterms:W3CDTF">2024-03-12T09:12:00Z</dcterms:modified>
</cp:coreProperties>
</file>